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3E8" w:rsidRPr="003359C6" w:rsidRDefault="005F4199" w:rsidP="003359C6">
      <w:pPr>
        <w:jc w:val="center"/>
        <w:rPr>
          <w:b/>
          <w:sz w:val="32"/>
          <w:szCs w:val="32"/>
        </w:rPr>
      </w:pPr>
      <w:r w:rsidRPr="003359C6">
        <w:rPr>
          <w:b/>
          <w:sz w:val="32"/>
          <w:szCs w:val="32"/>
        </w:rPr>
        <w:t>INFORME PORTAL DE INFORMACIÓN FISCAL</w:t>
      </w:r>
    </w:p>
    <w:p w:rsidR="003359C6" w:rsidRDefault="003359C6" w:rsidP="003359C6">
      <w:pPr>
        <w:jc w:val="center"/>
        <w:rPr>
          <w:b/>
        </w:rPr>
      </w:pPr>
    </w:p>
    <w:p w:rsidR="005F4199" w:rsidRPr="003359C6" w:rsidRDefault="005F4199" w:rsidP="003359C6">
      <w:pPr>
        <w:jc w:val="center"/>
        <w:rPr>
          <w:b/>
        </w:rPr>
      </w:pPr>
      <w:r w:rsidRPr="003359C6">
        <w:rPr>
          <w:b/>
        </w:rPr>
        <w:t>INF</w:t>
      </w:r>
      <w:r w:rsidR="003359C6">
        <w:rPr>
          <w:b/>
        </w:rPr>
        <w:t>O</w:t>
      </w:r>
      <w:r w:rsidRPr="003359C6">
        <w:rPr>
          <w:b/>
        </w:rPr>
        <w:t>RMACIÓN FALTANTE</w:t>
      </w:r>
    </w:p>
    <w:tbl>
      <w:tblPr>
        <w:tblW w:w="8429" w:type="dxa"/>
        <w:tblInd w:w="55" w:type="dxa"/>
        <w:tblCellMar>
          <w:left w:w="70" w:type="dxa"/>
          <w:right w:w="70" w:type="dxa"/>
        </w:tblCellMar>
        <w:tblLook w:val="04A0"/>
      </w:tblPr>
      <w:tblGrid>
        <w:gridCol w:w="2142"/>
        <w:gridCol w:w="6287"/>
      </w:tblGrid>
      <w:tr w:rsidR="005F4199" w:rsidRPr="005F4199" w:rsidTr="005F4199">
        <w:trPr>
          <w:trHeight w:val="390"/>
        </w:trPr>
        <w:tc>
          <w:tcPr>
            <w:tcW w:w="214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F4199" w:rsidRPr="005F4199" w:rsidRDefault="005F4199" w:rsidP="005F4199">
            <w:pPr>
              <w:spacing w:after="0" w:line="240" w:lineRule="auto"/>
              <w:jc w:val="center"/>
              <w:rPr>
                <w:rFonts w:ascii="Calibri" w:eastAsia="Times New Roman" w:hAnsi="Calibri" w:cs="Times New Roman"/>
                <w:b/>
                <w:bCs/>
                <w:color w:val="000000"/>
                <w:sz w:val="28"/>
                <w:szCs w:val="28"/>
                <w:lang w:eastAsia="es-MX"/>
              </w:rPr>
            </w:pPr>
            <w:r w:rsidRPr="005F4199">
              <w:rPr>
                <w:rFonts w:ascii="Calibri" w:eastAsia="Times New Roman" w:hAnsi="Calibri" w:cs="Times New Roman"/>
                <w:b/>
                <w:bCs/>
                <w:color w:val="000000"/>
                <w:sz w:val="28"/>
                <w:szCs w:val="28"/>
                <w:lang w:eastAsia="es-MX"/>
              </w:rPr>
              <w:t xml:space="preserve">BLOQUE </w:t>
            </w:r>
          </w:p>
        </w:tc>
        <w:tc>
          <w:tcPr>
            <w:tcW w:w="6287" w:type="dxa"/>
            <w:tcBorders>
              <w:top w:val="single" w:sz="8" w:space="0" w:color="auto"/>
              <w:left w:val="nil"/>
              <w:bottom w:val="single" w:sz="8" w:space="0" w:color="auto"/>
              <w:right w:val="single" w:sz="8" w:space="0" w:color="auto"/>
            </w:tcBorders>
            <w:shd w:val="clear" w:color="auto" w:fill="auto"/>
            <w:noWrap/>
            <w:vAlign w:val="bottom"/>
            <w:hideMark/>
          </w:tcPr>
          <w:p w:rsidR="005F4199" w:rsidRPr="005F4199" w:rsidRDefault="005F4199" w:rsidP="005F4199">
            <w:pPr>
              <w:spacing w:after="0" w:line="240" w:lineRule="auto"/>
              <w:jc w:val="center"/>
              <w:rPr>
                <w:rFonts w:ascii="Calibri" w:eastAsia="Times New Roman" w:hAnsi="Calibri" w:cs="Times New Roman"/>
                <w:b/>
                <w:bCs/>
                <w:color w:val="000000"/>
                <w:sz w:val="28"/>
                <w:szCs w:val="28"/>
                <w:lang w:eastAsia="es-MX"/>
              </w:rPr>
            </w:pPr>
            <w:r w:rsidRPr="005F4199">
              <w:rPr>
                <w:rFonts w:ascii="Calibri" w:eastAsia="Times New Roman" w:hAnsi="Calibri" w:cs="Times New Roman"/>
                <w:b/>
                <w:bCs/>
                <w:color w:val="000000"/>
                <w:sz w:val="28"/>
                <w:szCs w:val="28"/>
                <w:lang w:eastAsia="es-MX"/>
              </w:rPr>
              <w:t>OBSERVACIÓN</w:t>
            </w:r>
          </w:p>
        </w:tc>
      </w:tr>
      <w:tr w:rsidR="005F4199" w:rsidRPr="005F4199" w:rsidTr="005F4199">
        <w:trPr>
          <w:trHeight w:val="900"/>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5F4199" w:rsidRPr="005F4199" w:rsidRDefault="005F4199" w:rsidP="005F4199">
            <w:pPr>
              <w:spacing w:after="0" w:line="240" w:lineRule="auto"/>
              <w:rPr>
                <w:rFonts w:ascii="Calibri" w:eastAsia="Times New Roman" w:hAnsi="Calibri" w:cs="Times New Roman"/>
                <w:b/>
                <w:bCs/>
                <w:color w:val="000000"/>
                <w:sz w:val="24"/>
                <w:szCs w:val="24"/>
                <w:lang w:eastAsia="es-MX"/>
              </w:rPr>
            </w:pPr>
            <w:r w:rsidRPr="005F4199">
              <w:rPr>
                <w:rFonts w:ascii="Calibri" w:eastAsia="Times New Roman" w:hAnsi="Calibri" w:cs="Times New Roman"/>
                <w:b/>
                <w:bCs/>
                <w:color w:val="000000"/>
                <w:sz w:val="24"/>
                <w:szCs w:val="24"/>
                <w:lang w:eastAsia="es-MX"/>
              </w:rPr>
              <w:t>I: Marco Regulatorio</w:t>
            </w:r>
          </w:p>
        </w:tc>
        <w:tc>
          <w:tcPr>
            <w:tcW w:w="6287" w:type="dxa"/>
            <w:tcBorders>
              <w:top w:val="nil"/>
              <w:left w:val="nil"/>
              <w:bottom w:val="single" w:sz="4" w:space="0" w:color="auto"/>
              <w:right w:val="single" w:sz="4" w:space="0" w:color="auto"/>
            </w:tcBorders>
            <w:shd w:val="clear" w:color="auto" w:fill="auto"/>
            <w:vAlign w:val="bottom"/>
            <w:hideMark/>
          </w:tcPr>
          <w:p w:rsidR="005F4199" w:rsidRDefault="005F4199" w:rsidP="005F4199">
            <w:pPr>
              <w:spacing w:after="0" w:line="240" w:lineRule="auto"/>
              <w:jc w:val="both"/>
              <w:rPr>
                <w:rFonts w:ascii="Calibri" w:eastAsia="Times New Roman" w:hAnsi="Calibri" w:cs="Times New Roman"/>
                <w:color w:val="000000"/>
                <w:lang w:eastAsia="es-MX"/>
              </w:rPr>
            </w:pPr>
            <w:r w:rsidRPr="005F4199">
              <w:rPr>
                <w:rFonts w:ascii="Calibri" w:eastAsia="Times New Roman" w:hAnsi="Calibri" w:cs="Times New Roman"/>
                <w:color w:val="000000"/>
                <w:lang w:eastAsia="es-MX"/>
              </w:rPr>
              <w:t>Se penaliza la presentación del Bando de Policía y Buen Gobierno, debido a que no se presenta el documento íntegro vigente, es decir, se presentan por separado las últimas dos reformas realizadas al mismo.</w:t>
            </w:r>
            <w:r>
              <w:rPr>
                <w:rFonts w:ascii="Calibri" w:eastAsia="Times New Roman" w:hAnsi="Calibri" w:cs="Times New Roman"/>
                <w:color w:val="000000"/>
                <w:lang w:eastAsia="es-MX"/>
              </w:rPr>
              <w:t xml:space="preserve"> </w:t>
            </w:r>
          </w:p>
          <w:p w:rsidR="005F4199" w:rsidRPr="005F4199" w:rsidRDefault="005F4199" w:rsidP="005F4199">
            <w:pPr>
              <w:spacing w:after="0" w:line="240" w:lineRule="auto"/>
              <w:jc w:val="both"/>
              <w:rPr>
                <w:rFonts w:ascii="Calibri" w:eastAsia="Times New Roman" w:hAnsi="Calibri" w:cs="Times New Roman"/>
                <w:color w:val="000000"/>
                <w:lang w:eastAsia="es-MX"/>
              </w:rPr>
            </w:pPr>
            <w:r>
              <w:rPr>
                <w:rFonts w:ascii="Calibri" w:eastAsia="Times New Roman" w:hAnsi="Calibri" w:cs="Times New Roman"/>
                <w:color w:val="000000"/>
                <w:lang w:eastAsia="es-MX"/>
              </w:rPr>
              <w:t>FALTA UNIR EL BANDO</w:t>
            </w:r>
          </w:p>
        </w:tc>
      </w:tr>
      <w:tr w:rsidR="005F4199" w:rsidRPr="005F4199" w:rsidTr="005F4199">
        <w:trPr>
          <w:trHeight w:val="9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199" w:rsidRPr="005F4199" w:rsidRDefault="005F4199" w:rsidP="005F4199">
            <w:pPr>
              <w:spacing w:after="0" w:line="240" w:lineRule="auto"/>
              <w:rPr>
                <w:rFonts w:ascii="Calibri" w:eastAsia="Times New Roman" w:hAnsi="Calibri" w:cs="Times New Roman"/>
                <w:b/>
                <w:bCs/>
                <w:color w:val="000000"/>
                <w:sz w:val="24"/>
                <w:szCs w:val="24"/>
                <w:lang w:eastAsia="es-MX"/>
              </w:rPr>
            </w:pPr>
            <w:r w:rsidRPr="005F4199">
              <w:rPr>
                <w:rFonts w:ascii="Calibri" w:eastAsia="Times New Roman" w:hAnsi="Calibri" w:cs="Times New Roman"/>
                <w:b/>
                <w:bCs/>
                <w:color w:val="000000"/>
                <w:sz w:val="24"/>
                <w:szCs w:val="24"/>
                <w:lang w:eastAsia="es-MX"/>
              </w:rPr>
              <w:t>I: Marco Regulatorio</w:t>
            </w:r>
          </w:p>
        </w:tc>
        <w:tc>
          <w:tcPr>
            <w:tcW w:w="6287" w:type="dxa"/>
            <w:tcBorders>
              <w:top w:val="single" w:sz="4" w:space="0" w:color="auto"/>
              <w:left w:val="nil"/>
              <w:bottom w:val="single" w:sz="4" w:space="0" w:color="auto"/>
              <w:right w:val="single" w:sz="4" w:space="0" w:color="auto"/>
            </w:tcBorders>
            <w:shd w:val="clear" w:color="auto" w:fill="auto"/>
            <w:vAlign w:val="bottom"/>
            <w:hideMark/>
          </w:tcPr>
          <w:p w:rsidR="005F4199" w:rsidRDefault="005F4199" w:rsidP="005F4199">
            <w:pPr>
              <w:jc w:val="both"/>
              <w:rPr>
                <w:rFonts w:ascii="Calibri" w:hAnsi="Calibri"/>
                <w:color w:val="000000"/>
              </w:rPr>
            </w:pPr>
            <w:r>
              <w:rPr>
                <w:rFonts w:ascii="Calibri" w:hAnsi="Calibri"/>
                <w:color w:val="000000"/>
              </w:rPr>
              <w:t>Actas de cabildo</w:t>
            </w:r>
          </w:p>
          <w:p w:rsidR="005F4199" w:rsidRPr="005F4199" w:rsidRDefault="005F4199" w:rsidP="005F4199">
            <w:pPr>
              <w:jc w:val="both"/>
              <w:rPr>
                <w:rFonts w:ascii="Calibri" w:hAnsi="Calibri"/>
                <w:color w:val="000000"/>
              </w:rPr>
            </w:pPr>
            <w:r>
              <w:rPr>
                <w:rFonts w:ascii="Calibri" w:hAnsi="Calibri"/>
                <w:color w:val="000000"/>
              </w:rPr>
              <w:t>SOLO SE TIENE HASTA JULIO, INDICAN QUE TIENEN ACTAS PENDIENTES DE APROBAR</w:t>
            </w:r>
          </w:p>
        </w:tc>
      </w:tr>
      <w:tr w:rsidR="005F4199" w:rsidRPr="005F4199" w:rsidTr="005F4199">
        <w:trPr>
          <w:trHeight w:val="9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199" w:rsidRPr="005F4199" w:rsidRDefault="005F4199" w:rsidP="005F4199">
            <w:pPr>
              <w:spacing w:after="0" w:line="240" w:lineRule="auto"/>
              <w:rPr>
                <w:rFonts w:ascii="Calibri" w:eastAsia="Times New Roman" w:hAnsi="Calibri" w:cs="Times New Roman"/>
                <w:b/>
                <w:bCs/>
                <w:color w:val="000000"/>
                <w:sz w:val="24"/>
                <w:szCs w:val="24"/>
                <w:lang w:eastAsia="es-MX"/>
              </w:rPr>
            </w:pPr>
            <w:r w:rsidRPr="005F4199">
              <w:rPr>
                <w:rFonts w:ascii="Calibri" w:eastAsia="Times New Roman" w:hAnsi="Calibri" w:cs="Times New Roman"/>
                <w:b/>
                <w:bCs/>
                <w:color w:val="000000"/>
                <w:sz w:val="24"/>
                <w:szCs w:val="24"/>
                <w:lang w:eastAsia="es-MX"/>
              </w:rPr>
              <w:t>II. MARCO PROGRAMÁTICO PRESUPUESTAL</w:t>
            </w:r>
          </w:p>
        </w:tc>
        <w:tc>
          <w:tcPr>
            <w:tcW w:w="6287" w:type="dxa"/>
            <w:tcBorders>
              <w:top w:val="single" w:sz="4" w:space="0" w:color="auto"/>
              <w:left w:val="nil"/>
              <w:bottom w:val="single" w:sz="4" w:space="0" w:color="auto"/>
              <w:right w:val="single" w:sz="4" w:space="0" w:color="auto"/>
            </w:tcBorders>
            <w:shd w:val="clear" w:color="auto" w:fill="auto"/>
            <w:vAlign w:val="bottom"/>
            <w:hideMark/>
          </w:tcPr>
          <w:p w:rsidR="005F4199" w:rsidRDefault="007B4B9C" w:rsidP="005F4199">
            <w:pPr>
              <w:jc w:val="both"/>
              <w:rPr>
                <w:rFonts w:ascii="Calibri" w:hAnsi="Calibri"/>
                <w:color w:val="000000"/>
              </w:rPr>
            </w:pPr>
            <w:r>
              <w:rPr>
                <w:rFonts w:ascii="Calibri" w:hAnsi="Calibri"/>
                <w:color w:val="000000"/>
              </w:rPr>
              <w:t>FALTA TODO LO DE CONTABILIDAD</w:t>
            </w:r>
          </w:p>
        </w:tc>
      </w:tr>
      <w:tr w:rsidR="005F4199" w:rsidRPr="005F4199" w:rsidTr="005F4199">
        <w:trPr>
          <w:trHeight w:val="9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199" w:rsidRPr="005F4199" w:rsidRDefault="007B4B9C" w:rsidP="005F4199">
            <w:pPr>
              <w:spacing w:after="0" w:line="240" w:lineRule="auto"/>
              <w:rPr>
                <w:rFonts w:ascii="Calibri" w:eastAsia="Times New Roman" w:hAnsi="Calibri" w:cs="Times New Roman"/>
                <w:b/>
                <w:bCs/>
                <w:color w:val="000000"/>
                <w:sz w:val="24"/>
                <w:szCs w:val="24"/>
                <w:lang w:eastAsia="es-MX"/>
              </w:rPr>
            </w:pPr>
            <w:r w:rsidRPr="007B4B9C">
              <w:rPr>
                <w:rFonts w:ascii="Calibri" w:eastAsia="Times New Roman" w:hAnsi="Calibri" w:cs="Times New Roman"/>
                <w:b/>
                <w:bCs/>
                <w:color w:val="000000"/>
                <w:sz w:val="24"/>
                <w:szCs w:val="24"/>
                <w:lang w:eastAsia="es-MX"/>
              </w:rPr>
              <w:t>III. COSTOS OPERATIVOS</w:t>
            </w:r>
          </w:p>
        </w:tc>
        <w:tc>
          <w:tcPr>
            <w:tcW w:w="6287" w:type="dxa"/>
            <w:tcBorders>
              <w:top w:val="single" w:sz="4" w:space="0" w:color="auto"/>
              <w:left w:val="nil"/>
              <w:bottom w:val="single" w:sz="4" w:space="0" w:color="auto"/>
              <w:right w:val="single" w:sz="4" w:space="0" w:color="auto"/>
            </w:tcBorders>
            <w:shd w:val="clear" w:color="auto" w:fill="auto"/>
            <w:vAlign w:val="bottom"/>
            <w:hideMark/>
          </w:tcPr>
          <w:p w:rsidR="005F4199" w:rsidRDefault="007B4B9C" w:rsidP="005F4199">
            <w:pPr>
              <w:jc w:val="both"/>
              <w:rPr>
                <w:rFonts w:ascii="Calibri" w:hAnsi="Calibri"/>
                <w:color w:val="000000"/>
              </w:rPr>
            </w:pPr>
            <w:r w:rsidRPr="007B4B9C">
              <w:rPr>
                <w:rFonts w:ascii="Calibri" w:hAnsi="Calibri"/>
                <w:color w:val="000000"/>
              </w:rPr>
              <w:t>Adjudicación de Adquisiciones</w:t>
            </w:r>
          </w:p>
          <w:p w:rsidR="007B4B9C" w:rsidRDefault="007B4B9C" w:rsidP="005F4199">
            <w:pPr>
              <w:jc w:val="both"/>
              <w:rPr>
                <w:rFonts w:ascii="Calibri" w:hAnsi="Calibri"/>
                <w:color w:val="000000"/>
              </w:rPr>
            </w:pPr>
            <w:r>
              <w:rPr>
                <w:rFonts w:ascii="Calibri" w:hAnsi="Calibri"/>
                <w:color w:val="000000"/>
              </w:rPr>
              <w:t>ACTUALIZADO HASTA JUNIO</w:t>
            </w:r>
          </w:p>
        </w:tc>
      </w:tr>
      <w:tr w:rsidR="005F4199" w:rsidRPr="005F4199" w:rsidTr="005F4199">
        <w:trPr>
          <w:trHeight w:val="9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199" w:rsidRPr="005F4199" w:rsidRDefault="007B4B9C" w:rsidP="005F4199">
            <w:pPr>
              <w:spacing w:after="0" w:line="240" w:lineRule="auto"/>
              <w:rPr>
                <w:rFonts w:ascii="Calibri" w:eastAsia="Times New Roman" w:hAnsi="Calibri" w:cs="Times New Roman"/>
                <w:b/>
                <w:bCs/>
                <w:color w:val="000000"/>
                <w:sz w:val="24"/>
                <w:szCs w:val="24"/>
                <w:lang w:eastAsia="es-MX"/>
              </w:rPr>
            </w:pPr>
            <w:r w:rsidRPr="007B4B9C">
              <w:rPr>
                <w:rFonts w:ascii="Calibri" w:eastAsia="Times New Roman" w:hAnsi="Calibri" w:cs="Times New Roman"/>
                <w:b/>
                <w:bCs/>
                <w:color w:val="000000"/>
                <w:sz w:val="24"/>
                <w:szCs w:val="24"/>
                <w:lang w:eastAsia="es-MX"/>
              </w:rPr>
              <w:t>III. COSTOS OPERATIVOS</w:t>
            </w:r>
          </w:p>
        </w:tc>
        <w:tc>
          <w:tcPr>
            <w:tcW w:w="6287" w:type="dxa"/>
            <w:tcBorders>
              <w:top w:val="single" w:sz="4" w:space="0" w:color="auto"/>
              <w:left w:val="nil"/>
              <w:bottom w:val="single" w:sz="4" w:space="0" w:color="auto"/>
              <w:right w:val="single" w:sz="4" w:space="0" w:color="auto"/>
            </w:tcBorders>
            <w:shd w:val="clear" w:color="auto" w:fill="auto"/>
            <w:vAlign w:val="bottom"/>
            <w:hideMark/>
          </w:tcPr>
          <w:p w:rsidR="005F4199" w:rsidRDefault="007B4B9C" w:rsidP="005F4199">
            <w:pPr>
              <w:jc w:val="both"/>
              <w:rPr>
                <w:rFonts w:ascii="Calibri" w:hAnsi="Calibri"/>
                <w:color w:val="000000"/>
              </w:rPr>
            </w:pPr>
            <w:r>
              <w:rPr>
                <w:rFonts w:ascii="Calibri" w:hAnsi="Calibri"/>
                <w:color w:val="000000"/>
              </w:rPr>
              <w:t>FALTA SUBIR LOS LINEAMIENTOS DEL GASTO PARA EL 2019</w:t>
            </w:r>
          </w:p>
        </w:tc>
      </w:tr>
      <w:tr w:rsidR="003359C6" w:rsidRPr="005F4199" w:rsidTr="005F4199">
        <w:trPr>
          <w:trHeight w:val="9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9C6" w:rsidRPr="007B4B9C" w:rsidRDefault="003359C6" w:rsidP="005F4199">
            <w:pPr>
              <w:spacing w:after="0" w:line="240" w:lineRule="auto"/>
              <w:rPr>
                <w:rFonts w:ascii="Calibri" w:eastAsia="Times New Roman" w:hAnsi="Calibri" w:cs="Times New Roman"/>
                <w:b/>
                <w:bCs/>
                <w:color w:val="000000"/>
                <w:sz w:val="24"/>
                <w:szCs w:val="24"/>
                <w:lang w:eastAsia="es-MX"/>
              </w:rPr>
            </w:pPr>
            <w:r w:rsidRPr="003359C6">
              <w:rPr>
                <w:rFonts w:ascii="Calibri" w:eastAsia="Times New Roman" w:hAnsi="Calibri" w:cs="Times New Roman"/>
                <w:b/>
                <w:bCs/>
                <w:color w:val="000000"/>
                <w:sz w:val="24"/>
                <w:szCs w:val="24"/>
                <w:lang w:eastAsia="es-MX"/>
              </w:rPr>
              <w:t>IV. RENDICIÓN DE CUENTAS</w:t>
            </w:r>
          </w:p>
        </w:tc>
        <w:tc>
          <w:tcPr>
            <w:tcW w:w="6287" w:type="dxa"/>
            <w:tcBorders>
              <w:top w:val="single" w:sz="4" w:space="0" w:color="auto"/>
              <w:left w:val="nil"/>
              <w:bottom w:val="single" w:sz="4" w:space="0" w:color="auto"/>
              <w:right w:val="single" w:sz="4" w:space="0" w:color="auto"/>
            </w:tcBorders>
            <w:shd w:val="clear" w:color="auto" w:fill="auto"/>
            <w:vAlign w:val="bottom"/>
            <w:hideMark/>
          </w:tcPr>
          <w:p w:rsidR="003359C6" w:rsidRDefault="003359C6" w:rsidP="001A6E5E">
            <w:pPr>
              <w:jc w:val="both"/>
              <w:rPr>
                <w:rFonts w:ascii="Calibri" w:hAnsi="Calibri"/>
                <w:color w:val="000000"/>
              </w:rPr>
            </w:pPr>
            <w:r>
              <w:rPr>
                <w:rFonts w:ascii="Calibri" w:hAnsi="Calibri"/>
                <w:color w:val="000000"/>
              </w:rPr>
              <w:t>FALTA TODO LO DE CONTABILIDAD</w:t>
            </w:r>
          </w:p>
        </w:tc>
      </w:tr>
      <w:tr w:rsidR="003359C6" w:rsidRPr="005F4199" w:rsidTr="005F4199">
        <w:trPr>
          <w:trHeight w:val="9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9C6" w:rsidRPr="003359C6" w:rsidRDefault="003359C6" w:rsidP="005F4199">
            <w:pPr>
              <w:spacing w:after="0" w:line="240" w:lineRule="auto"/>
              <w:rPr>
                <w:rFonts w:ascii="Calibri" w:eastAsia="Times New Roman" w:hAnsi="Calibri" w:cs="Times New Roman"/>
                <w:b/>
                <w:bCs/>
                <w:color w:val="000000"/>
                <w:sz w:val="24"/>
                <w:szCs w:val="24"/>
                <w:lang w:eastAsia="es-MX"/>
              </w:rPr>
            </w:pPr>
            <w:r w:rsidRPr="003359C6">
              <w:rPr>
                <w:rFonts w:ascii="Calibri" w:eastAsia="Times New Roman" w:hAnsi="Calibri" w:cs="Times New Roman"/>
                <w:b/>
                <w:bCs/>
                <w:color w:val="000000"/>
                <w:sz w:val="24"/>
                <w:szCs w:val="24"/>
                <w:lang w:eastAsia="es-MX"/>
              </w:rPr>
              <w:t>VI. ESTADISTICAS FISCALES</w:t>
            </w:r>
          </w:p>
        </w:tc>
        <w:tc>
          <w:tcPr>
            <w:tcW w:w="6287" w:type="dxa"/>
            <w:tcBorders>
              <w:top w:val="single" w:sz="4" w:space="0" w:color="auto"/>
              <w:left w:val="nil"/>
              <w:bottom w:val="single" w:sz="4" w:space="0" w:color="auto"/>
              <w:right w:val="single" w:sz="4" w:space="0" w:color="auto"/>
            </w:tcBorders>
            <w:shd w:val="clear" w:color="auto" w:fill="auto"/>
            <w:vAlign w:val="bottom"/>
            <w:hideMark/>
          </w:tcPr>
          <w:p w:rsidR="003359C6" w:rsidRDefault="003359C6" w:rsidP="001A6E5E">
            <w:pPr>
              <w:jc w:val="both"/>
              <w:rPr>
                <w:rFonts w:ascii="Calibri" w:hAnsi="Calibri"/>
                <w:color w:val="000000"/>
              </w:rPr>
            </w:pPr>
            <w:r>
              <w:rPr>
                <w:rFonts w:ascii="Calibri" w:hAnsi="Calibri"/>
                <w:color w:val="000000"/>
              </w:rPr>
              <w:t>ACTUALIZAR HASTA 2018</w:t>
            </w:r>
          </w:p>
        </w:tc>
      </w:tr>
    </w:tbl>
    <w:p w:rsidR="005F4199" w:rsidRDefault="005F4199"/>
    <w:p w:rsidR="003359C6" w:rsidRDefault="003359C6" w:rsidP="003359C6">
      <w:pPr>
        <w:jc w:val="center"/>
        <w:rPr>
          <w:b/>
          <w:color w:val="000000" w:themeColor="text1"/>
        </w:rPr>
      </w:pPr>
    </w:p>
    <w:p w:rsidR="003359C6" w:rsidRDefault="003359C6" w:rsidP="003359C6">
      <w:pPr>
        <w:jc w:val="center"/>
        <w:rPr>
          <w:b/>
          <w:color w:val="000000" w:themeColor="text1"/>
        </w:rPr>
      </w:pPr>
    </w:p>
    <w:p w:rsidR="003359C6" w:rsidRDefault="003359C6" w:rsidP="003359C6">
      <w:pPr>
        <w:jc w:val="center"/>
        <w:rPr>
          <w:b/>
          <w:color w:val="000000" w:themeColor="text1"/>
        </w:rPr>
      </w:pPr>
    </w:p>
    <w:p w:rsidR="003359C6" w:rsidRDefault="003359C6" w:rsidP="003359C6">
      <w:pPr>
        <w:jc w:val="center"/>
        <w:rPr>
          <w:b/>
          <w:color w:val="000000" w:themeColor="text1"/>
        </w:rPr>
      </w:pPr>
    </w:p>
    <w:p w:rsidR="003359C6" w:rsidRDefault="003359C6" w:rsidP="003359C6">
      <w:pPr>
        <w:jc w:val="center"/>
        <w:rPr>
          <w:b/>
          <w:color w:val="000000" w:themeColor="text1"/>
        </w:rPr>
      </w:pPr>
    </w:p>
    <w:p w:rsidR="003359C6" w:rsidRDefault="003359C6" w:rsidP="003359C6">
      <w:pPr>
        <w:jc w:val="center"/>
        <w:rPr>
          <w:b/>
          <w:color w:val="000000" w:themeColor="text1"/>
        </w:rPr>
      </w:pPr>
    </w:p>
    <w:p w:rsidR="003359C6" w:rsidRDefault="003359C6" w:rsidP="003359C6">
      <w:pPr>
        <w:jc w:val="center"/>
        <w:rPr>
          <w:b/>
          <w:color w:val="000000" w:themeColor="text1"/>
        </w:rPr>
      </w:pPr>
      <w:r w:rsidRPr="003359C6">
        <w:rPr>
          <w:b/>
          <w:color w:val="000000" w:themeColor="text1"/>
        </w:rPr>
        <w:lastRenderedPageBreak/>
        <w:t>DUDAS</w:t>
      </w:r>
    </w:p>
    <w:tbl>
      <w:tblPr>
        <w:tblW w:w="8561" w:type="dxa"/>
        <w:tblInd w:w="55" w:type="dxa"/>
        <w:tblCellMar>
          <w:left w:w="70" w:type="dxa"/>
          <w:right w:w="70" w:type="dxa"/>
        </w:tblCellMar>
        <w:tblLook w:val="04A0"/>
      </w:tblPr>
      <w:tblGrid>
        <w:gridCol w:w="2098"/>
        <w:gridCol w:w="6463"/>
      </w:tblGrid>
      <w:tr w:rsidR="003359C6" w:rsidRPr="003359C6" w:rsidTr="003359C6">
        <w:trPr>
          <w:trHeight w:val="1200"/>
        </w:trPr>
        <w:tc>
          <w:tcPr>
            <w:tcW w:w="20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359C6" w:rsidRPr="003359C6" w:rsidRDefault="003359C6" w:rsidP="003359C6">
            <w:pPr>
              <w:spacing w:after="0" w:line="240" w:lineRule="auto"/>
              <w:rPr>
                <w:rFonts w:ascii="Calibri" w:eastAsia="Times New Roman" w:hAnsi="Calibri" w:cs="Times New Roman"/>
                <w:b/>
                <w:bCs/>
                <w:color w:val="000000"/>
                <w:sz w:val="24"/>
                <w:szCs w:val="24"/>
                <w:lang w:eastAsia="es-MX"/>
              </w:rPr>
            </w:pPr>
            <w:r w:rsidRPr="003359C6">
              <w:rPr>
                <w:rFonts w:ascii="Calibri" w:eastAsia="Times New Roman" w:hAnsi="Calibri" w:cs="Times New Roman"/>
                <w:b/>
                <w:bCs/>
                <w:color w:val="000000"/>
                <w:sz w:val="24"/>
                <w:szCs w:val="24"/>
                <w:lang w:eastAsia="es-MX"/>
              </w:rPr>
              <w:t>III: Costos Operativos</w:t>
            </w:r>
          </w:p>
        </w:tc>
        <w:tc>
          <w:tcPr>
            <w:tcW w:w="646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359C6" w:rsidRPr="003359C6" w:rsidRDefault="003359C6" w:rsidP="003359C6">
            <w:pPr>
              <w:spacing w:after="0" w:line="240" w:lineRule="auto"/>
              <w:jc w:val="both"/>
              <w:rPr>
                <w:rFonts w:ascii="Calibri" w:eastAsia="Times New Roman" w:hAnsi="Calibri" w:cs="Times New Roman"/>
                <w:color w:val="000000"/>
                <w:lang w:eastAsia="es-MX"/>
              </w:rPr>
            </w:pPr>
            <w:r w:rsidRPr="003359C6">
              <w:rPr>
                <w:rFonts w:ascii="Calibri" w:eastAsia="Times New Roman" w:hAnsi="Calibri" w:cs="Times New Roman"/>
                <w:color w:val="000000"/>
                <w:lang w:eastAsia="es-MX"/>
              </w:rPr>
              <w:t>En la presentación de Convocatorias a licitaciones abiertas se pondera a favor del municipio con la presentación del hipervínculo a COMPRANET. No se asigna el total de puntuación, debido a que no se publica toda aquella licitación cuyo recurso a ejercer sea recurso propio.</w:t>
            </w:r>
          </w:p>
        </w:tc>
      </w:tr>
      <w:tr w:rsidR="003359C6" w:rsidRPr="003359C6" w:rsidTr="003359C6">
        <w:trPr>
          <w:trHeight w:val="1200"/>
        </w:trPr>
        <w:tc>
          <w:tcPr>
            <w:tcW w:w="20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359C6" w:rsidRDefault="003359C6">
            <w:pPr>
              <w:rPr>
                <w:rFonts w:ascii="Calibri" w:hAnsi="Calibri"/>
                <w:b/>
                <w:bCs/>
                <w:color w:val="000000"/>
                <w:sz w:val="24"/>
                <w:szCs w:val="24"/>
              </w:rPr>
            </w:pPr>
            <w:r>
              <w:rPr>
                <w:rFonts w:ascii="Calibri" w:hAnsi="Calibri"/>
                <w:b/>
                <w:bCs/>
                <w:color w:val="000000"/>
              </w:rPr>
              <w:t>III: Costos Operativos</w:t>
            </w:r>
          </w:p>
        </w:tc>
        <w:tc>
          <w:tcPr>
            <w:tcW w:w="646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359C6" w:rsidRDefault="003359C6">
            <w:pPr>
              <w:jc w:val="both"/>
              <w:rPr>
                <w:rFonts w:ascii="Calibri" w:hAnsi="Calibri"/>
                <w:color w:val="000000"/>
              </w:rPr>
            </w:pPr>
            <w:r>
              <w:rPr>
                <w:rFonts w:ascii="Calibri" w:hAnsi="Calibri"/>
                <w:color w:val="000000"/>
              </w:rPr>
              <w:t>Posteriormente para 2018 se presentan licencias de funcionamiento y empadronamiento, información que no corresponde a la variable solicitada, por lo tanto, se anula 2018.</w:t>
            </w:r>
          </w:p>
        </w:tc>
      </w:tr>
      <w:tr w:rsidR="003359C6" w:rsidRPr="003359C6" w:rsidTr="003359C6">
        <w:trPr>
          <w:trHeight w:val="1200"/>
        </w:trPr>
        <w:tc>
          <w:tcPr>
            <w:tcW w:w="20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359C6" w:rsidRDefault="003359C6">
            <w:pPr>
              <w:rPr>
                <w:rFonts w:ascii="Calibri" w:hAnsi="Calibri"/>
                <w:b/>
                <w:bCs/>
                <w:color w:val="000000"/>
                <w:sz w:val="24"/>
                <w:szCs w:val="24"/>
              </w:rPr>
            </w:pPr>
            <w:r>
              <w:rPr>
                <w:rFonts w:ascii="Calibri" w:hAnsi="Calibri"/>
                <w:b/>
                <w:bCs/>
                <w:color w:val="000000"/>
              </w:rPr>
              <w:t>V: Evaluación de Resultados</w:t>
            </w:r>
          </w:p>
        </w:tc>
        <w:tc>
          <w:tcPr>
            <w:tcW w:w="646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359C6" w:rsidRDefault="003359C6">
            <w:pPr>
              <w:jc w:val="both"/>
              <w:rPr>
                <w:rFonts w:ascii="Calibri" w:hAnsi="Calibri"/>
                <w:color w:val="000000"/>
              </w:rPr>
            </w:pPr>
            <w:r>
              <w:rPr>
                <w:rFonts w:ascii="Calibri" w:hAnsi="Calibri"/>
                <w:color w:val="000000"/>
              </w:rPr>
              <w:t>Se penaliza la puntuación correspondiente a Metas planeadas, como parte de la información de los Indicadores de gestión. Se consideró la información que se presenta de forma independiente en Excel, sin embargo, no se incluye el total de indicadores presentados previamente en las fichas técnicas.</w:t>
            </w:r>
          </w:p>
        </w:tc>
      </w:tr>
    </w:tbl>
    <w:p w:rsidR="003359C6" w:rsidRPr="003359C6" w:rsidRDefault="003359C6" w:rsidP="003359C6">
      <w:pPr>
        <w:jc w:val="center"/>
        <w:rPr>
          <w:b/>
          <w:color w:val="000000" w:themeColor="text1"/>
        </w:rPr>
      </w:pPr>
    </w:p>
    <w:sectPr w:rsidR="003359C6" w:rsidRPr="003359C6" w:rsidSect="007573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4199"/>
    <w:rsid w:val="003359C6"/>
    <w:rsid w:val="005F4199"/>
    <w:rsid w:val="007573E8"/>
    <w:rsid w:val="007B4B9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3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302819">
      <w:bodyDiv w:val="1"/>
      <w:marLeft w:val="0"/>
      <w:marRight w:val="0"/>
      <w:marTop w:val="0"/>
      <w:marBottom w:val="0"/>
      <w:divBdr>
        <w:top w:val="none" w:sz="0" w:space="0" w:color="auto"/>
        <w:left w:val="none" w:sz="0" w:space="0" w:color="auto"/>
        <w:bottom w:val="none" w:sz="0" w:space="0" w:color="auto"/>
        <w:right w:val="none" w:sz="0" w:space="0" w:color="auto"/>
      </w:divBdr>
    </w:div>
    <w:div w:id="592668311">
      <w:bodyDiv w:val="1"/>
      <w:marLeft w:val="0"/>
      <w:marRight w:val="0"/>
      <w:marTop w:val="0"/>
      <w:marBottom w:val="0"/>
      <w:divBdr>
        <w:top w:val="none" w:sz="0" w:space="0" w:color="auto"/>
        <w:left w:val="none" w:sz="0" w:space="0" w:color="auto"/>
        <w:bottom w:val="none" w:sz="0" w:space="0" w:color="auto"/>
        <w:right w:val="none" w:sz="0" w:space="0" w:color="auto"/>
      </w:divBdr>
    </w:div>
    <w:div w:id="211420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246</Words>
  <Characters>1355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EGRESOS</dc:creator>
  <cp:lastModifiedBy>EGRESOS</cp:lastModifiedBy>
  <cp:revision>1</cp:revision>
  <dcterms:created xsi:type="dcterms:W3CDTF">2019-02-21T18:23:00Z</dcterms:created>
  <dcterms:modified xsi:type="dcterms:W3CDTF">2019-02-21T19:11:00Z</dcterms:modified>
</cp:coreProperties>
</file>