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ayout w:type="fixed"/>
        <w:tblLook w:val="04A0" w:firstRow="1" w:lastRow="0" w:firstColumn="1" w:lastColumn="0" w:noHBand="0" w:noVBand="1"/>
      </w:tblPr>
      <w:tblGrid>
        <w:gridCol w:w="9054"/>
      </w:tblGrid>
      <w:tr w:rsidR="00A14C32" w:rsidTr="00823567">
        <w:trPr>
          <w:trHeight w:val="1763"/>
        </w:trPr>
        <w:tc>
          <w:tcPr>
            <w:tcW w:w="9054" w:type="dxa"/>
          </w:tcPr>
          <w:p w:rsidR="00A14C32" w:rsidRDefault="00A14C32" w:rsidP="00823567">
            <w:pPr>
              <w:pStyle w:val="Encabezado"/>
              <w:snapToGrid w:val="0"/>
              <w:rPr>
                <w:sz w:val="22"/>
                <w:szCs w:val="22"/>
                <w:lang w:val="es-ES" w:eastAsia="es-MX"/>
              </w:rPr>
            </w:pPr>
            <w:r>
              <w:rPr>
                <w:noProof/>
                <w:sz w:val="22"/>
                <w:szCs w:val="22"/>
                <w:lang w:val="es-MX" w:eastAsia="es-MX"/>
              </w:rPr>
              <w:drawing>
                <wp:inline distT="0" distB="0" distL="0" distR="0" wp14:anchorId="0250CA57" wp14:editId="706F1C75">
                  <wp:extent cx="866775" cy="1085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85" t="-444" r="-685" b="-444"/>
                          <a:stretch>
                            <a:fillRect/>
                          </a:stretch>
                        </pic:blipFill>
                        <pic:spPr bwMode="auto">
                          <a:xfrm>
                            <a:off x="0" y="0"/>
                            <a:ext cx="866775" cy="1085850"/>
                          </a:xfrm>
                          <a:prstGeom prst="rect">
                            <a:avLst/>
                          </a:prstGeom>
                          <a:solidFill>
                            <a:srgbClr val="FFFFFF">
                              <a:alpha val="0"/>
                            </a:srgbClr>
                          </a:solidFill>
                          <a:ln>
                            <a:noFill/>
                          </a:ln>
                        </pic:spPr>
                      </pic:pic>
                    </a:graphicData>
                  </a:graphic>
                </wp:inline>
              </w:drawing>
            </w:r>
            <w:r>
              <w:rPr>
                <w:noProof/>
                <w:sz w:val="22"/>
                <w:szCs w:val="22"/>
                <w:lang w:val="es-MX" w:eastAsia="es-MX"/>
              </w:rPr>
              <w:drawing>
                <wp:inline distT="0" distB="0" distL="0" distR="0" wp14:anchorId="71A39ED4" wp14:editId="2D111232">
                  <wp:extent cx="9906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47" t="-417" r="-447" b="-417"/>
                          <a:stretch>
                            <a:fillRect/>
                          </a:stretch>
                        </pic:blipFill>
                        <pic:spPr bwMode="auto">
                          <a:xfrm>
                            <a:off x="0" y="0"/>
                            <a:ext cx="990600" cy="942975"/>
                          </a:xfrm>
                          <a:prstGeom prst="rect">
                            <a:avLst/>
                          </a:prstGeom>
                          <a:solidFill>
                            <a:srgbClr val="FFFFFF">
                              <a:alpha val="0"/>
                            </a:srgbClr>
                          </a:solidFill>
                          <a:ln>
                            <a:noFill/>
                          </a:ln>
                        </pic:spPr>
                      </pic:pic>
                    </a:graphicData>
                  </a:graphic>
                </wp:inline>
              </w:drawing>
            </w:r>
          </w:p>
          <w:p w:rsidR="00A14C32" w:rsidRDefault="00A14C32" w:rsidP="00823567">
            <w:pPr>
              <w:pStyle w:val="Encabezado"/>
              <w:snapToGrid w:val="0"/>
              <w:rPr>
                <w:sz w:val="22"/>
                <w:szCs w:val="22"/>
                <w:lang w:val="es-ES" w:eastAsia="es-MX"/>
              </w:rPr>
            </w:pPr>
          </w:p>
        </w:tc>
      </w:tr>
      <w:tr w:rsidR="00A14C32" w:rsidRPr="006A1DD4" w:rsidTr="00823567">
        <w:tc>
          <w:tcPr>
            <w:tcW w:w="9054" w:type="dxa"/>
          </w:tcPr>
          <w:p w:rsidR="00A14C32" w:rsidRPr="006A1DD4" w:rsidRDefault="00A14C32" w:rsidP="00823567">
            <w:pPr>
              <w:shd w:val="clear" w:color="auto" w:fill="FFFFFF"/>
              <w:ind w:right="240"/>
              <w:jc w:val="center"/>
              <w:rPr>
                <w:rFonts w:ascii="Arial" w:eastAsia="Times New Roman" w:hAnsi="Arial" w:cs="Arial"/>
                <w:bCs/>
                <w:color w:val="FF0000"/>
                <w:sz w:val="24"/>
                <w:szCs w:val="24"/>
                <w:lang w:eastAsia="es-MX"/>
              </w:rPr>
            </w:pPr>
            <w:r>
              <w:rPr>
                <w:rFonts w:ascii="Arial" w:eastAsia="Times New Roman" w:hAnsi="Arial" w:cs="Arial"/>
                <w:b/>
                <w:bCs/>
                <w:sz w:val="24"/>
                <w:szCs w:val="24"/>
                <w:lang w:eastAsia="es-MX"/>
              </w:rPr>
              <w:t>Aviso de Privacidad integral del Correo Electrónico Institucional</w:t>
            </w:r>
          </w:p>
          <w:p w:rsidR="00A14C32" w:rsidRPr="006A1DD4" w:rsidRDefault="00A14C32" w:rsidP="00823567">
            <w:pPr>
              <w:shd w:val="clear" w:color="auto" w:fill="FFFFFF"/>
              <w:ind w:right="240"/>
              <w:jc w:val="both"/>
              <w:rPr>
                <w:rFonts w:ascii="Arial" w:eastAsia="Times New Roman" w:hAnsi="Arial" w:cs="Arial"/>
                <w:b/>
                <w:bCs/>
                <w:sz w:val="20"/>
                <w:szCs w:val="20"/>
                <w:lang w:eastAsia="es-MX"/>
              </w:rPr>
            </w:pPr>
          </w:p>
          <w:p w:rsidR="00A14C32" w:rsidRPr="006A1DD4" w:rsidRDefault="00A14C32" w:rsidP="00823567">
            <w:pPr>
              <w:shd w:val="clear" w:color="auto" w:fill="FFFFFF"/>
              <w:ind w:right="240"/>
              <w:jc w:val="both"/>
              <w:rPr>
                <w:rFonts w:ascii="Arial" w:eastAsia="Times New Roman" w:hAnsi="Arial" w:cs="Arial"/>
                <w:sz w:val="20"/>
                <w:szCs w:val="20"/>
                <w:lang w:eastAsia="es-MX"/>
              </w:rPr>
            </w:pPr>
            <w:r>
              <w:rPr>
                <w:rFonts w:ascii="Arial" w:eastAsia="Times New Roman" w:hAnsi="Arial" w:cs="Arial"/>
                <w:sz w:val="20"/>
                <w:szCs w:val="20"/>
                <w:lang w:eastAsia="es-MX"/>
              </w:rPr>
              <w:t>El H. Ayuntamiento de Veracruz, Ver.</w:t>
            </w:r>
            <w:r w:rsidRPr="006A1DD4">
              <w:rPr>
                <w:rFonts w:ascii="Arial" w:eastAsia="Times New Roman" w:hAnsi="Arial" w:cs="Arial"/>
                <w:sz w:val="20"/>
                <w:szCs w:val="20"/>
                <w:lang w:eastAsia="es-MX"/>
              </w:rPr>
              <w:t xml:space="preserve">, con domicilio en </w:t>
            </w:r>
            <w:r>
              <w:rPr>
                <w:rFonts w:ascii="Arial" w:eastAsia="Times New Roman" w:hAnsi="Arial" w:cs="Arial"/>
                <w:sz w:val="20"/>
                <w:szCs w:val="20"/>
                <w:lang w:eastAsia="es-MX"/>
              </w:rPr>
              <w:t>la av. Zaragoza s/n, Col. Centro, C.P. 91700,</w:t>
            </w:r>
            <w:r w:rsidRPr="006A1DD4">
              <w:rPr>
                <w:rFonts w:ascii="Arial" w:eastAsia="Times New Roman" w:hAnsi="Arial" w:cs="Arial"/>
                <w:sz w:val="20"/>
                <w:szCs w:val="20"/>
                <w:lang w:eastAsia="es-MX"/>
              </w:rPr>
              <w:t xml:space="preserve">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rsidR="00A14C32" w:rsidRPr="006A1DD4" w:rsidRDefault="00A14C32" w:rsidP="00823567">
            <w:pPr>
              <w:shd w:val="clear" w:color="auto" w:fill="FFFFFF"/>
              <w:ind w:right="240"/>
              <w:jc w:val="both"/>
              <w:rPr>
                <w:rFonts w:ascii="Arial" w:eastAsia="Times New Roman" w:hAnsi="Arial" w:cs="Arial"/>
                <w:color w:val="000000"/>
                <w:sz w:val="20"/>
                <w:szCs w:val="20"/>
                <w:lang w:eastAsia="es-MX"/>
              </w:rPr>
            </w:pPr>
          </w:p>
          <w:p w:rsidR="00A14C32" w:rsidRPr="006A1DD4" w:rsidRDefault="00A14C32" w:rsidP="00823567">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Finalidades del tratamiento</w:t>
            </w:r>
          </w:p>
          <w:p w:rsidR="00D41DF7" w:rsidRDefault="00D41DF7" w:rsidP="00D41DF7">
            <w:pPr>
              <w:shd w:val="clear" w:color="auto" w:fill="FFFFFF"/>
              <w:ind w:right="240"/>
              <w:jc w:val="both"/>
              <w:rPr>
                <w:rFonts w:ascii="Arial" w:eastAsia="Times New Roman" w:hAnsi="Arial" w:cs="Arial"/>
                <w:color w:val="FF0000"/>
                <w:sz w:val="20"/>
                <w:szCs w:val="20"/>
                <w:lang w:eastAsia="es-MX"/>
              </w:rPr>
            </w:pPr>
            <w:r w:rsidRPr="006A1DD4">
              <w:rPr>
                <w:rFonts w:ascii="Arial" w:eastAsia="Times New Roman" w:hAnsi="Arial" w:cs="Arial"/>
                <w:color w:val="000000"/>
                <w:sz w:val="20"/>
                <w:szCs w:val="20"/>
                <w:lang w:eastAsia="es-MX"/>
              </w:rPr>
              <w:t>Los datos personales que recaba</w:t>
            </w:r>
            <w:r>
              <w:rPr>
                <w:rFonts w:ascii="Arial" w:eastAsia="Times New Roman" w:hAnsi="Arial" w:cs="Arial"/>
                <w:color w:val="000000"/>
                <w:sz w:val="20"/>
                <w:szCs w:val="20"/>
                <w:lang w:eastAsia="es-MX"/>
              </w:rPr>
              <w:t xml:space="preserve">mos de usted, los utilizaremos exclusivamente para dar cumplimiento con la Ley 316 </w:t>
            </w:r>
            <w:r>
              <w:t>Ley de Protección de Datos Personales en Posesión de Sujetos Obligados para el Estado de Veracruz de Ignacio de la Llave.</w:t>
            </w:r>
          </w:p>
          <w:p w:rsidR="00A14C32" w:rsidRPr="006A1DD4" w:rsidRDefault="00A14C32" w:rsidP="00823567">
            <w:pPr>
              <w:shd w:val="clear" w:color="auto" w:fill="FFFFFF"/>
              <w:ind w:right="240"/>
              <w:jc w:val="both"/>
              <w:rPr>
                <w:rFonts w:ascii="Arial" w:eastAsia="Times New Roman" w:hAnsi="Arial" w:cs="Arial"/>
                <w:color w:val="000000"/>
                <w:sz w:val="20"/>
                <w:szCs w:val="20"/>
                <w:lang w:eastAsia="es-MX"/>
              </w:rPr>
            </w:pPr>
            <w:bookmarkStart w:id="0" w:name="_GoBack"/>
            <w:bookmarkEnd w:id="0"/>
          </w:p>
          <w:p w:rsidR="00A14C32" w:rsidRPr="006A1DD4" w:rsidRDefault="00A14C32" w:rsidP="00823567">
            <w:pPr>
              <w:shd w:val="clear" w:color="auto" w:fill="FFFFFF"/>
              <w:ind w:right="240"/>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Fundamento legal</w:t>
            </w:r>
          </w:p>
          <w:p w:rsidR="00A14C32" w:rsidRPr="006A1DD4" w:rsidRDefault="00A14C32" w:rsidP="00823567">
            <w:pPr>
              <w:shd w:val="clear" w:color="auto" w:fill="FFFFFF"/>
              <w:ind w:right="240"/>
              <w:jc w:val="both"/>
              <w:rPr>
                <w:rFonts w:ascii="Arial" w:eastAsia="Times New Roman" w:hAnsi="Arial" w:cs="Arial"/>
                <w:b/>
                <w:color w:val="FF0000"/>
                <w:sz w:val="20"/>
                <w:szCs w:val="20"/>
                <w:lang w:eastAsia="es-MX"/>
              </w:rPr>
            </w:pPr>
            <w:r w:rsidRPr="006A1DD4">
              <w:rPr>
                <w:rFonts w:ascii="Arial" w:eastAsia="Times New Roman" w:hAnsi="Arial" w:cs="Arial"/>
                <w:color w:val="000000"/>
                <w:sz w:val="20"/>
                <w:szCs w:val="20"/>
                <w:lang w:eastAsia="es-MX"/>
              </w:rPr>
              <w:t xml:space="preserve">El fundamento para el tratamiento de datos personales y transferencias son: </w:t>
            </w:r>
            <w:r>
              <w:rPr>
                <w:rFonts w:ascii="Arial" w:eastAsia="Times New Roman" w:hAnsi="Arial" w:cs="Arial"/>
                <w:color w:val="000000"/>
                <w:sz w:val="20"/>
                <w:szCs w:val="20"/>
                <w:lang w:eastAsia="es-MX"/>
              </w:rPr>
              <w:t xml:space="preserve">Art. 5, 6, 9  de </w:t>
            </w:r>
            <w:r w:rsidRPr="006A1DD4">
              <w:rPr>
                <w:rFonts w:ascii="Arial" w:eastAsia="Times New Roman" w:hAnsi="Arial" w:cs="Arial"/>
                <w:sz w:val="20"/>
                <w:szCs w:val="20"/>
                <w:lang w:eastAsia="es-MX"/>
              </w:rPr>
              <w:t>la Ley 316 de Protección de Datos Personales en Posesión de Sujetos Obligados para el Estado de Veracruz</w:t>
            </w:r>
            <w:r>
              <w:rPr>
                <w:rFonts w:ascii="Arial" w:eastAsia="Times New Roman" w:hAnsi="Arial" w:cs="Arial"/>
                <w:sz w:val="20"/>
                <w:szCs w:val="20"/>
                <w:lang w:eastAsia="es-MX"/>
              </w:rPr>
              <w:t>, Articulo 4, 5, 6 de la Ley 875 de Transparencia y Acceso a la Información Pública para el Estado de Veracruz de Ignacio de la Llave.</w:t>
            </w:r>
          </w:p>
          <w:p w:rsidR="00A14C32" w:rsidRPr="006A1DD4" w:rsidRDefault="00A14C32" w:rsidP="00823567">
            <w:pPr>
              <w:shd w:val="clear" w:color="auto" w:fill="FFFFFF"/>
              <w:ind w:right="240"/>
              <w:jc w:val="both"/>
              <w:rPr>
                <w:rFonts w:ascii="Arial" w:eastAsia="Times New Roman" w:hAnsi="Arial" w:cs="Arial"/>
                <w:color w:val="000000"/>
                <w:sz w:val="20"/>
                <w:szCs w:val="20"/>
                <w:lang w:eastAsia="es-MX"/>
              </w:rPr>
            </w:pPr>
          </w:p>
          <w:p w:rsidR="00A14C32" w:rsidRPr="006A1DD4" w:rsidRDefault="00A14C32" w:rsidP="00823567">
            <w:pPr>
              <w:shd w:val="clear" w:color="auto" w:fill="FFFFFF"/>
              <w:ind w:right="240"/>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Se informa que no realizarán transferencias que requieran su consentimiento, salvo aquellas que sean necesarias para atender requerimientos de información de una autoridad competente, debidamente fundados y motivados.</w:t>
            </w:r>
          </w:p>
          <w:p w:rsidR="00A14C32" w:rsidRPr="006A1DD4" w:rsidRDefault="00A14C32" w:rsidP="00823567">
            <w:pPr>
              <w:shd w:val="clear" w:color="auto" w:fill="FFFFFF"/>
              <w:ind w:right="240"/>
              <w:jc w:val="both"/>
              <w:rPr>
                <w:rFonts w:ascii="Arial" w:eastAsia="Times New Roman" w:hAnsi="Arial" w:cs="Arial"/>
                <w:color w:val="000000"/>
                <w:sz w:val="20"/>
                <w:szCs w:val="20"/>
                <w:lang w:eastAsia="es-MX"/>
              </w:rPr>
            </w:pPr>
          </w:p>
          <w:p w:rsidR="00A14C32" w:rsidRPr="006A1DD4" w:rsidRDefault="00A14C32" w:rsidP="00823567">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Derechos ARCO</w:t>
            </w:r>
          </w:p>
          <w:p w:rsidR="00A14C32" w:rsidRPr="006A1DD4"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rsidR="00A14C32" w:rsidRPr="006A1DD4" w:rsidRDefault="00A14C32" w:rsidP="00823567">
            <w:pPr>
              <w:jc w:val="both"/>
              <w:rPr>
                <w:rFonts w:ascii="Arial" w:eastAsia="Times New Roman" w:hAnsi="Arial" w:cs="Arial"/>
                <w:sz w:val="20"/>
                <w:szCs w:val="20"/>
                <w:lang w:eastAsia="es-MX"/>
              </w:rPr>
            </w:pPr>
          </w:p>
          <w:p w:rsidR="00A14C32" w:rsidRPr="006A1DD4"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Para el ejercicio de cualquiera de los derechos ARCO, usted podrá presentar solicitud por escrito ante la Unidad de Transparencia, formato o m</w:t>
            </w:r>
            <w:r>
              <w:rPr>
                <w:rFonts w:ascii="Arial" w:eastAsia="Times New Roman" w:hAnsi="Arial" w:cs="Arial"/>
                <w:sz w:val="20"/>
                <w:szCs w:val="20"/>
                <w:lang w:eastAsia="es-MX"/>
              </w:rPr>
              <w:t>edio electrónico transparencia@veracruzmunicipio.gob.mx</w:t>
            </w:r>
            <w:r w:rsidRPr="006A1DD4">
              <w:rPr>
                <w:rFonts w:ascii="Arial" w:eastAsia="Times New Roman" w:hAnsi="Arial" w:cs="Arial"/>
                <w:sz w:val="20"/>
                <w:szCs w:val="20"/>
                <w:lang w:eastAsia="es-MX"/>
              </w:rPr>
              <w:t xml:space="preserve">, la que deberá contener: </w:t>
            </w:r>
          </w:p>
          <w:p w:rsidR="00A14C32" w:rsidRPr="006A1DD4" w:rsidRDefault="00A14C32" w:rsidP="00823567">
            <w:pPr>
              <w:jc w:val="both"/>
              <w:rPr>
                <w:rFonts w:ascii="Arial" w:eastAsia="Times New Roman" w:hAnsi="Arial" w:cs="Arial"/>
                <w:sz w:val="20"/>
                <w:szCs w:val="20"/>
                <w:lang w:eastAsia="es-MX"/>
              </w:rPr>
            </w:pPr>
          </w:p>
          <w:p w:rsidR="00A14C32" w:rsidRPr="006A1DD4" w:rsidRDefault="00A14C32" w:rsidP="00A14C32">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El nombre del titular y su domicilio o cualquier otro medio para recibir notificaciones;</w:t>
            </w:r>
          </w:p>
          <w:p w:rsidR="00A14C32" w:rsidRPr="006A1DD4" w:rsidRDefault="00A14C32" w:rsidP="00A14C32">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Los documentos que acrediten la identidad del titular, y en su caso, la personalidad e identidad de su representante;</w:t>
            </w:r>
          </w:p>
          <w:p w:rsidR="00A14C32" w:rsidRPr="006A1DD4" w:rsidRDefault="00A14C32" w:rsidP="00A14C32">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De ser posible, el área responsable que trata los datos personales;</w:t>
            </w:r>
          </w:p>
          <w:p w:rsidR="00A14C32" w:rsidRPr="006A1DD4" w:rsidRDefault="00A14C32" w:rsidP="00A14C32">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clara y precisa de los datos personales respecto de los que se busca ejercer alguno de los derechos ARCO, salvo que se trate del derecho de acceso;</w:t>
            </w:r>
          </w:p>
          <w:p w:rsidR="00A14C32" w:rsidRPr="006A1DD4" w:rsidRDefault="00A14C32" w:rsidP="00A14C32">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del derecho ARCO que se pretende ejercer, o bien, lo que solicita el titular,  y</w:t>
            </w:r>
          </w:p>
          <w:p w:rsidR="00A14C32" w:rsidRPr="006A1DD4" w:rsidRDefault="00A14C32" w:rsidP="00A14C32">
            <w:pPr>
              <w:pStyle w:val="Prrafodelista"/>
              <w:numPr>
                <w:ilvl w:val="0"/>
                <w:numId w:val="1"/>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Cualquier otro elemento o documento que facilite la localización de los datos personales, en su caso.</w:t>
            </w:r>
          </w:p>
          <w:p w:rsidR="00A14C32" w:rsidRPr="006A1DD4" w:rsidRDefault="00A14C32" w:rsidP="00823567">
            <w:pPr>
              <w:pStyle w:val="Prrafodelista"/>
              <w:jc w:val="both"/>
              <w:rPr>
                <w:rFonts w:ascii="Arial" w:eastAsia="Times New Roman" w:hAnsi="Arial" w:cs="Arial"/>
                <w:sz w:val="20"/>
                <w:szCs w:val="20"/>
                <w:lang w:eastAsia="es-MX"/>
              </w:rPr>
            </w:pPr>
          </w:p>
          <w:p w:rsidR="00A14C32" w:rsidRPr="006A1DD4"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rsidR="00A14C32" w:rsidRPr="006A1DD4" w:rsidRDefault="00A14C32" w:rsidP="00823567">
            <w:pPr>
              <w:jc w:val="both"/>
              <w:rPr>
                <w:rFonts w:ascii="Arial" w:eastAsia="Times New Roman" w:hAnsi="Arial" w:cs="Arial"/>
                <w:sz w:val="20"/>
                <w:szCs w:val="20"/>
                <w:lang w:eastAsia="es-MX"/>
              </w:rPr>
            </w:pPr>
          </w:p>
          <w:p w:rsidR="00A14C32" w:rsidRPr="006A1DD4"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rsidR="00A14C32" w:rsidRPr="006A1DD4" w:rsidRDefault="00A14C32" w:rsidP="00823567">
            <w:pPr>
              <w:jc w:val="both"/>
              <w:rPr>
                <w:rFonts w:ascii="Arial" w:eastAsia="Times New Roman" w:hAnsi="Arial" w:cs="Arial"/>
                <w:sz w:val="20"/>
                <w:szCs w:val="20"/>
                <w:lang w:eastAsia="es-MX"/>
              </w:rPr>
            </w:pPr>
          </w:p>
          <w:p w:rsidR="00A14C32" w:rsidRPr="006A1DD4" w:rsidRDefault="00A14C32" w:rsidP="00823567">
            <w:pPr>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 xml:space="preserve">Datos de la Unidad de Transparencia </w:t>
            </w:r>
          </w:p>
          <w:p w:rsidR="00A14C32" w:rsidRPr="006A1DD4"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Domicilio: </w:t>
            </w:r>
            <w:r>
              <w:rPr>
                <w:rFonts w:ascii="Arial" w:eastAsia="Times New Roman" w:hAnsi="Arial" w:cs="Arial"/>
                <w:sz w:val="20"/>
                <w:szCs w:val="20"/>
                <w:lang w:eastAsia="es-MX"/>
              </w:rPr>
              <w:t>av. Zaragoza s/n, Col. Centro, C.P. 91700</w:t>
            </w:r>
          </w:p>
          <w:p w:rsidR="00A14C32" w:rsidRPr="006A1DD4"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Teléfono: </w:t>
            </w:r>
            <w:r>
              <w:rPr>
                <w:rFonts w:ascii="Arial" w:eastAsia="Times New Roman" w:hAnsi="Arial" w:cs="Arial"/>
                <w:sz w:val="20"/>
                <w:szCs w:val="20"/>
                <w:lang w:eastAsia="es-MX"/>
              </w:rPr>
              <w:t>200 2051</w:t>
            </w:r>
          </w:p>
          <w:p w:rsidR="00A14C32"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Correo electrónico institucional: </w:t>
            </w:r>
            <w:r>
              <w:rPr>
                <w:rFonts w:ascii="Arial" w:eastAsia="Times New Roman" w:hAnsi="Arial" w:cs="Arial"/>
                <w:sz w:val="20"/>
                <w:szCs w:val="20"/>
                <w:lang w:eastAsia="es-MX"/>
              </w:rPr>
              <w:t>transparencia@veracruzmunicipio.gob.mx</w:t>
            </w:r>
            <w:r w:rsidRPr="006A1DD4">
              <w:rPr>
                <w:rFonts w:ascii="Arial" w:eastAsia="Times New Roman" w:hAnsi="Arial" w:cs="Arial"/>
                <w:sz w:val="20"/>
                <w:szCs w:val="20"/>
                <w:lang w:eastAsia="es-MX"/>
              </w:rPr>
              <w:t xml:space="preserve"> </w:t>
            </w:r>
          </w:p>
          <w:p w:rsidR="00A14C32" w:rsidRPr="006A1DD4" w:rsidRDefault="00A14C32" w:rsidP="00823567">
            <w:pPr>
              <w:jc w:val="both"/>
              <w:rPr>
                <w:rFonts w:ascii="Arial" w:eastAsia="Times New Roman" w:hAnsi="Arial" w:cs="Arial"/>
                <w:sz w:val="20"/>
                <w:szCs w:val="20"/>
                <w:lang w:eastAsia="es-MX"/>
              </w:rPr>
            </w:pPr>
          </w:p>
          <w:p w:rsidR="00A14C32" w:rsidRPr="006A1DD4" w:rsidRDefault="00A14C32" w:rsidP="00823567">
            <w:pPr>
              <w:jc w:val="both"/>
              <w:rPr>
                <w:rFonts w:ascii="Arial" w:eastAsia="Times New Roman" w:hAnsi="Arial" w:cs="Arial"/>
                <w:b/>
                <w:bCs/>
                <w:sz w:val="20"/>
                <w:szCs w:val="20"/>
                <w:lang w:eastAsia="es-MX"/>
              </w:rPr>
            </w:pPr>
            <w:r w:rsidRPr="006A1DD4">
              <w:rPr>
                <w:rFonts w:ascii="Arial" w:eastAsia="Times New Roman" w:hAnsi="Arial" w:cs="Arial"/>
                <w:b/>
                <w:bCs/>
                <w:sz w:val="20"/>
                <w:szCs w:val="20"/>
                <w:lang w:eastAsia="es-MX"/>
              </w:rPr>
              <w:t>Cambios al Aviso de Privacidad</w:t>
            </w:r>
          </w:p>
          <w:p w:rsidR="00A14C32" w:rsidRDefault="00A14C32" w:rsidP="00823567">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En caso de realizar alguna modificación al Aviso de Privacidad, se le ha</w:t>
            </w:r>
            <w:r>
              <w:rPr>
                <w:rFonts w:ascii="Arial" w:eastAsia="Times New Roman" w:hAnsi="Arial" w:cs="Arial"/>
                <w:sz w:val="20"/>
                <w:szCs w:val="20"/>
                <w:lang w:eastAsia="es-MX"/>
              </w:rPr>
              <w:t xml:space="preserve">rá de su conocimiento mediante el portal del Ayuntamiento, </w:t>
            </w:r>
            <w:hyperlink r:id="rId9" w:history="1">
              <w:r w:rsidRPr="00D97DB7">
                <w:rPr>
                  <w:rStyle w:val="Hipervnculo"/>
                  <w:rFonts w:ascii="Arial" w:hAnsi="Arial" w:cs="Arial"/>
                  <w:sz w:val="20"/>
                  <w:szCs w:val="20"/>
                  <w:lang w:eastAsia="es-MX"/>
                </w:rPr>
                <w:t>www.veracruzmunicipio.gob.mx</w:t>
              </w:r>
            </w:hyperlink>
            <w:r>
              <w:rPr>
                <w:rFonts w:ascii="Arial" w:eastAsia="Times New Roman" w:hAnsi="Arial" w:cs="Arial"/>
                <w:sz w:val="20"/>
                <w:szCs w:val="20"/>
                <w:lang w:eastAsia="es-MX"/>
              </w:rPr>
              <w:t>.</w:t>
            </w:r>
          </w:p>
          <w:p w:rsidR="00A14C32" w:rsidRPr="00E030D4" w:rsidRDefault="00A14C32" w:rsidP="00823567">
            <w:pPr>
              <w:jc w:val="both"/>
              <w:rPr>
                <w:rFonts w:ascii="Arial" w:eastAsia="Times New Roman" w:hAnsi="Arial" w:cs="Arial"/>
                <w:sz w:val="20"/>
                <w:szCs w:val="20"/>
                <w:lang w:eastAsia="es-MX"/>
              </w:rPr>
            </w:pPr>
          </w:p>
        </w:tc>
      </w:tr>
    </w:tbl>
    <w:p w:rsidR="008F063A" w:rsidRDefault="00D41DF7"/>
    <w:sectPr w:rsidR="008F06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32"/>
    <w:rsid w:val="00645F92"/>
    <w:rsid w:val="00A14C32"/>
    <w:rsid w:val="00D41DF7"/>
    <w:rsid w:val="00D474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4C32"/>
    <w:pPr>
      <w:spacing w:after="0" w:line="240" w:lineRule="auto"/>
      <w:ind w:left="720"/>
      <w:contextualSpacing/>
    </w:pPr>
    <w:rPr>
      <w:rFonts w:ascii="Calibri" w:eastAsia="Calibri" w:hAnsi="Calibri" w:cs="Times New Roman"/>
    </w:rPr>
  </w:style>
  <w:style w:type="table" w:styleId="Tablaconcuadrcula">
    <w:name w:val="Table Grid"/>
    <w:basedOn w:val="Tablanormal"/>
    <w:uiPriority w:val="39"/>
    <w:rsid w:val="00A1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4C32"/>
    <w:rPr>
      <w:color w:val="0000FF" w:themeColor="hyperlink"/>
      <w:u w:val="single"/>
    </w:rPr>
  </w:style>
  <w:style w:type="paragraph" w:styleId="Encabezado">
    <w:name w:val="header"/>
    <w:basedOn w:val="Normal"/>
    <w:link w:val="EncabezadoCar"/>
    <w:rsid w:val="00A14C32"/>
    <w:pPr>
      <w:suppressAutoHyphens/>
      <w:spacing w:after="0" w:line="240" w:lineRule="auto"/>
    </w:pPr>
    <w:rPr>
      <w:rFonts w:ascii="Cambria" w:eastAsia="Times New Roman" w:hAnsi="Cambria" w:cs="Cambria"/>
      <w:sz w:val="24"/>
      <w:szCs w:val="24"/>
      <w:lang w:val="es-ES_tradnl" w:eastAsia="zh-CN"/>
    </w:rPr>
  </w:style>
  <w:style w:type="character" w:customStyle="1" w:styleId="EncabezadoCar">
    <w:name w:val="Encabezado Car"/>
    <w:basedOn w:val="Fuentedeprrafopredeter"/>
    <w:link w:val="Encabezado"/>
    <w:rsid w:val="00A14C32"/>
    <w:rPr>
      <w:rFonts w:ascii="Cambria" w:eastAsia="Times New Roman" w:hAnsi="Cambria" w:cs="Cambria"/>
      <w:sz w:val="24"/>
      <w:szCs w:val="24"/>
      <w:lang w:val="es-ES_tradnl" w:eastAsia="zh-CN"/>
    </w:rPr>
  </w:style>
  <w:style w:type="paragraph" w:styleId="Textodeglobo">
    <w:name w:val="Balloon Text"/>
    <w:basedOn w:val="Normal"/>
    <w:link w:val="TextodegloboCar"/>
    <w:uiPriority w:val="99"/>
    <w:semiHidden/>
    <w:unhideWhenUsed/>
    <w:rsid w:val="00A1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4C32"/>
    <w:pPr>
      <w:spacing w:after="0" w:line="240" w:lineRule="auto"/>
      <w:ind w:left="720"/>
      <w:contextualSpacing/>
    </w:pPr>
    <w:rPr>
      <w:rFonts w:ascii="Calibri" w:eastAsia="Calibri" w:hAnsi="Calibri" w:cs="Times New Roman"/>
    </w:rPr>
  </w:style>
  <w:style w:type="table" w:styleId="Tablaconcuadrcula">
    <w:name w:val="Table Grid"/>
    <w:basedOn w:val="Tablanormal"/>
    <w:uiPriority w:val="39"/>
    <w:rsid w:val="00A1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4C32"/>
    <w:rPr>
      <w:color w:val="0000FF" w:themeColor="hyperlink"/>
      <w:u w:val="single"/>
    </w:rPr>
  </w:style>
  <w:style w:type="paragraph" w:styleId="Encabezado">
    <w:name w:val="header"/>
    <w:basedOn w:val="Normal"/>
    <w:link w:val="EncabezadoCar"/>
    <w:rsid w:val="00A14C32"/>
    <w:pPr>
      <w:suppressAutoHyphens/>
      <w:spacing w:after="0" w:line="240" w:lineRule="auto"/>
    </w:pPr>
    <w:rPr>
      <w:rFonts w:ascii="Cambria" w:eastAsia="Times New Roman" w:hAnsi="Cambria" w:cs="Cambria"/>
      <w:sz w:val="24"/>
      <w:szCs w:val="24"/>
      <w:lang w:val="es-ES_tradnl" w:eastAsia="zh-CN"/>
    </w:rPr>
  </w:style>
  <w:style w:type="character" w:customStyle="1" w:styleId="EncabezadoCar">
    <w:name w:val="Encabezado Car"/>
    <w:basedOn w:val="Fuentedeprrafopredeter"/>
    <w:link w:val="Encabezado"/>
    <w:rsid w:val="00A14C32"/>
    <w:rPr>
      <w:rFonts w:ascii="Cambria" w:eastAsia="Times New Roman" w:hAnsi="Cambria" w:cs="Cambria"/>
      <w:sz w:val="24"/>
      <w:szCs w:val="24"/>
      <w:lang w:val="es-ES_tradnl" w:eastAsia="zh-CN"/>
    </w:rPr>
  </w:style>
  <w:style w:type="paragraph" w:styleId="Textodeglobo">
    <w:name w:val="Balloon Text"/>
    <w:basedOn w:val="Normal"/>
    <w:link w:val="TextodegloboCar"/>
    <w:uiPriority w:val="99"/>
    <w:semiHidden/>
    <w:unhideWhenUsed/>
    <w:rsid w:val="00A1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eracruzmunicipi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DD89-5581-4EDB-BB0E-862AC9B6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2022-03-23T19:06:00Z</dcterms:created>
  <dcterms:modified xsi:type="dcterms:W3CDTF">2022-03-23T20:31:00Z</dcterms:modified>
</cp:coreProperties>
</file>